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C113" w14:textId="4CA1FC77" w:rsidR="000A68AB" w:rsidRPr="005E4641" w:rsidRDefault="00C64697" w:rsidP="00555565">
      <w:pPr>
        <w:jc w:val="center"/>
        <w:rPr>
          <w:b/>
          <w:sz w:val="28"/>
        </w:rPr>
      </w:pPr>
      <w:bookmarkStart w:id="0" w:name="_GoBack"/>
      <w:bookmarkEnd w:id="0"/>
      <w:r w:rsidRPr="000A68AB">
        <w:rPr>
          <w:noProof/>
        </w:rPr>
        <w:drawing>
          <wp:anchor distT="0" distB="0" distL="114300" distR="114300" simplePos="0" relativeHeight="251659264" behindDoc="1" locked="0" layoutInCell="1" allowOverlap="1" wp14:anchorId="0B06FBBA" wp14:editId="73804F52">
            <wp:simplePos x="0" y="0"/>
            <wp:positionH relativeFrom="column">
              <wp:posOffset>5136543</wp:posOffset>
            </wp:positionH>
            <wp:positionV relativeFrom="paragraph">
              <wp:posOffset>-540689</wp:posOffset>
            </wp:positionV>
            <wp:extent cx="1059180" cy="925195"/>
            <wp:effectExtent l="0" t="0" r="762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641" w:rsidRPr="005E4641">
        <w:rPr>
          <w:b/>
          <w:sz w:val="28"/>
        </w:rPr>
        <w:t>YEAR 1</w:t>
      </w:r>
    </w:p>
    <w:p w14:paraId="41EBCA3B" w14:textId="77777777" w:rsidR="005E4641" w:rsidRDefault="005E4641"/>
    <w:p w14:paraId="3267EC84" w14:textId="77777777" w:rsidR="00151800" w:rsidRPr="001D439F" w:rsidRDefault="000A68AB">
      <w:pPr>
        <w:rPr>
          <w:b/>
        </w:rPr>
      </w:pPr>
      <w:r w:rsidRPr="001D439F">
        <w:rPr>
          <w:b/>
        </w:rPr>
        <w:t>Fall 2017</w:t>
      </w:r>
    </w:p>
    <w:p w14:paraId="57E9577F" w14:textId="087D07CA" w:rsidR="000A68AB" w:rsidRDefault="000A68AB">
      <w:r>
        <w:t xml:space="preserve">Gather data from faculty &amp; students regarding future form &amp; function of the LARC. Launch LARC website and begin to disseminate teacher and learner resources through growing bank of </w:t>
      </w:r>
      <w:r w:rsidR="00555565">
        <w:t xml:space="preserve">online </w:t>
      </w:r>
      <w:r>
        <w:t>resource modules.</w:t>
      </w:r>
      <w:r w:rsidR="00555565">
        <w:t xml:space="preserve"> Offer 1 face-to-face workshop for faculty and 1 face-to-face workshop for students. </w:t>
      </w:r>
    </w:p>
    <w:p w14:paraId="2DCE9148" w14:textId="77777777" w:rsidR="000A68AB" w:rsidRDefault="000A68AB"/>
    <w:p w14:paraId="68A85171" w14:textId="77777777" w:rsidR="000A68AB" w:rsidRPr="005E4641" w:rsidRDefault="000A68AB">
      <w:pPr>
        <w:rPr>
          <w:b/>
        </w:rPr>
      </w:pPr>
      <w:r w:rsidRPr="005E4641">
        <w:rPr>
          <w:b/>
        </w:rPr>
        <w:t>Spring 2018</w:t>
      </w:r>
    </w:p>
    <w:p w14:paraId="1C495789" w14:textId="7E4E1C29" w:rsidR="000A68AB" w:rsidRDefault="003C5AB6">
      <w:r>
        <w:t>Form ad hoc committee to assist in the interpretation of the</w:t>
      </w:r>
      <w:r w:rsidR="000A68AB">
        <w:t xml:space="preserve"> data and develop a </w:t>
      </w:r>
      <w:proofErr w:type="gramStart"/>
      <w:r w:rsidR="000A68AB">
        <w:t>2 year</w:t>
      </w:r>
      <w:proofErr w:type="gramEnd"/>
      <w:r w:rsidR="000A68AB">
        <w:t xml:space="preserve"> strategic plan based on findings. Identify core initiatives from data and focus on 1-2 initiatives to work on during the term and over the summer.</w:t>
      </w:r>
      <w:r w:rsidR="00555565">
        <w:t xml:space="preserve"> Initiatives may include things like professional development, assessment, computer assisted language learning (CALL) and teaching support, coordination of conversation labs, special programming, innovative programs, or others.</w:t>
      </w:r>
    </w:p>
    <w:p w14:paraId="47D4D0A3" w14:textId="344D0045" w:rsidR="003C5AB6" w:rsidRDefault="008A5392">
      <w:r>
        <w:pict w14:anchorId="09102FB6">
          <v:rect id="_x0000_i1025" style="width:0;height:1.5pt" o:hralign="center" o:hrstd="t" o:hr="t" fillcolor="#f0f0f0" stroked="f"/>
        </w:pict>
      </w:r>
    </w:p>
    <w:p w14:paraId="50AACF8F" w14:textId="77777777" w:rsidR="00555565" w:rsidRDefault="00555565" w:rsidP="00555565">
      <w:pPr>
        <w:jc w:val="center"/>
        <w:rPr>
          <w:b/>
          <w:sz w:val="28"/>
        </w:rPr>
      </w:pPr>
    </w:p>
    <w:p w14:paraId="29656B7F" w14:textId="2CA4FDD6" w:rsidR="005E4641" w:rsidRPr="005E4641" w:rsidRDefault="005E4641" w:rsidP="00555565">
      <w:pPr>
        <w:jc w:val="center"/>
        <w:rPr>
          <w:b/>
          <w:sz w:val="28"/>
        </w:rPr>
      </w:pPr>
      <w:r w:rsidRPr="005E4641">
        <w:rPr>
          <w:b/>
          <w:sz w:val="28"/>
        </w:rPr>
        <w:t>YEAR 2</w:t>
      </w:r>
    </w:p>
    <w:p w14:paraId="32D9A973" w14:textId="77777777" w:rsidR="005E4641" w:rsidRDefault="005E4641"/>
    <w:p w14:paraId="2AB4E9CD" w14:textId="77777777" w:rsidR="000A68AB" w:rsidRPr="005E4641" w:rsidRDefault="000A68AB">
      <w:pPr>
        <w:rPr>
          <w:b/>
        </w:rPr>
      </w:pPr>
      <w:r w:rsidRPr="005E4641">
        <w:rPr>
          <w:b/>
        </w:rPr>
        <w:t>Fall 2018</w:t>
      </w:r>
    </w:p>
    <w:p w14:paraId="797A1418" w14:textId="27C54012" w:rsidR="000A68AB" w:rsidRDefault="000A68AB">
      <w:r>
        <w:t xml:space="preserve">Add 1-2 core initiatives and continue to develop existing initiatives. Begin to identify external and internal sources of funding. </w:t>
      </w:r>
      <w:r w:rsidR="006D75A6">
        <w:t>Form faculty advisory committee for the center.</w:t>
      </w:r>
    </w:p>
    <w:p w14:paraId="68A47015" w14:textId="77777777" w:rsidR="005E4641" w:rsidRDefault="005E4641"/>
    <w:p w14:paraId="303972BA" w14:textId="77777777" w:rsidR="00515153" w:rsidRDefault="00515153"/>
    <w:p w14:paraId="076CC666" w14:textId="159B4DBA" w:rsidR="005E4641" w:rsidRDefault="005E4641">
      <w:pPr>
        <w:rPr>
          <w:b/>
        </w:rPr>
      </w:pPr>
      <w:r w:rsidRPr="005E4641">
        <w:rPr>
          <w:b/>
        </w:rPr>
        <w:t>Spring 2019</w:t>
      </w:r>
    </w:p>
    <w:p w14:paraId="0201A3BA" w14:textId="5BF5474B" w:rsidR="00555565" w:rsidRPr="00555565" w:rsidRDefault="00555565">
      <w:r>
        <w:t xml:space="preserve">Core initiatives should be in full operation by this point. Can add </w:t>
      </w:r>
      <w:r w:rsidR="006D75A6">
        <w:t>secondary</w:t>
      </w:r>
      <w:r>
        <w:t xml:space="preserve"> initiatives as resources allow. Apply for internal/external funding if any of the initiatives require financial support. </w:t>
      </w:r>
    </w:p>
    <w:p w14:paraId="316C810C" w14:textId="712C1E33" w:rsidR="003C5AB6" w:rsidRDefault="008A5392">
      <w:r>
        <w:pict w14:anchorId="24266CE4">
          <v:rect id="_x0000_i1026" style="width:0;height:1.5pt" o:hralign="center" o:hrstd="t" o:hr="t" fillcolor="#f0f0f0" stroked="f"/>
        </w:pict>
      </w:r>
    </w:p>
    <w:p w14:paraId="72A4C02F" w14:textId="77777777" w:rsidR="00555565" w:rsidRDefault="00555565" w:rsidP="00555565">
      <w:pPr>
        <w:jc w:val="center"/>
        <w:rPr>
          <w:b/>
          <w:sz w:val="28"/>
        </w:rPr>
      </w:pPr>
    </w:p>
    <w:p w14:paraId="206DC17F" w14:textId="43E99277" w:rsidR="005E4641" w:rsidRPr="005E4641" w:rsidRDefault="005E4641" w:rsidP="00555565">
      <w:pPr>
        <w:jc w:val="center"/>
        <w:rPr>
          <w:b/>
          <w:sz w:val="28"/>
        </w:rPr>
      </w:pPr>
      <w:r w:rsidRPr="005E4641">
        <w:rPr>
          <w:b/>
          <w:sz w:val="28"/>
        </w:rPr>
        <w:t>YEAR 3</w:t>
      </w:r>
    </w:p>
    <w:p w14:paraId="2DA4F0D1" w14:textId="77777777" w:rsidR="005E4641" w:rsidRDefault="005E4641"/>
    <w:p w14:paraId="15824711" w14:textId="76EA9246" w:rsidR="005E4641" w:rsidRDefault="005E4641">
      <w:pPr>
        <w:rPr>
          <w:b/>
        </w:rPr>
      </w:pPr>
      <w:r w:rsidRPr="005E4641">
        <w:rPr>
          <w:b/>
        </w:rPr>
        <w:t>Fall 2019</w:t>
      </w:r>
    </w:p>
    <w:p w14:paraId="1FFA840A" w14:textId="0507A529" w:rsidR="00555565" w:rsidRPr="00555565" w:rsidRDefault="00555565">
      <w:r>
        <w:t>Continued support for primary and secondary initiatives. Consider bringing in external reviewer for early review of the converted center to gain insight for the next three years.</w:t>
      </w:r>
    </w:p>
    <w:p w14:paraId="312923D4" w14:textId="77777777" w:rsidR="005E4641" w:rsidRDefault="005E4641"/>
    <w:p w14:paraId="1250502A" w14:textId="1EC83523" w:rsidR="005E4641" w:rsidRPr="005E4641" w:rsidRDefault="005E4641">
      <w:pPr>
        <w:rPr>
          <w:b/>
        </w:rPr>
      </w:pPr>
      <w:r w:rsidRPr="005E4641">
        <w:rPr>
          <w:b/>
        </w:rPr>
        <w:t>Spring 2020</w:t>
      </w:r>
    </w:p>
    <w:p w14:paraId="2E200E10" w14:textId="57062AD6" w:rsidR="005E4641" w:rsidRDefault="005E4641">
      <w:r>
        <w:t xml:space="preserve">Gather data </w:t>
      </w:r>
      <w:r w:rsidR="00555565">
        <w:t xml:space="preserve">from faculty and students </w:t>
      </w:r>
      <w:r>
        <w:t>again and assess curren</w:t>
      </w:r>
      <w:r w:rsidR="00555565">
        <w:t>t form &amp; functions of the LARC.</w:t>
      </w:r>
      <w:r w:rsidR="006D75A6">
        <w:t xml:space="preserve"> Combine this feedback with external reviewer and develop strategic plan for the next three years of the center. </w:t>
      </w:r>
    </w:p>
    <w:p w14:paraId="22A63407" w14:textId="5D26B3AD" w:rsidR="00C64697" w:rsidRDefault="00C64697"/>
    <w:p w14:paraId="30C7EA76" w14:textId="007A78F4" w:rsidR="00C64697" w:rsidRDefault="00C64697"/>
    <w:p w14:paraId="757ED213" w14:textId="0EED9890" w:rsidR="00C64697" w:rsidRDefault="00C64697"/>
    <w:p w14:paraId="5678249E" w14:textId="69F02F55" w:rsidR="00C64697" w:rsidRDefault="00C64697"/>
    <w:p w14:paraId="784E0578" w14:textId="7AE7F041" w:rsidR="00C64697" w:rsidRDefault="00C64697">
      <w:pPr>
        <w:sectPr w:rsidR="00C64697" w:rsidSect="006C6C0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610CE8" w14:textId="4D927A02" w:rsidR="00C64697" w:rsidRDefault="00401E52">
      <w:r>
        <w:rPr>
          <w:noProof/>
        </w:rPr>
        <w:lastRenderedPageBreak/>
        <w:drawing>
          <wp:inline distT="0" distB="0" distL="0" distR="0" wp14:anchorId="075F7F76" wp14:editId="1D4D44C4">
            <wp:extent cx="8612372" cy="6613451"/>
            <wp:effectExtent l="0" t="0" r="0" b="165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C64697" w:rsidRPr="000A68AB">
        <w:rPr>
          <w:noProof/>
        </w:rPr>
        <w:drawing>
          <wp:anchor distT="0" distB="0" distL="114300" distR="114300" simplePos="0" relativeHeight="251661312" behindDoc="1" locked="0" layoutInCell="1" allowOverlap="1" wp14:anchorId="1BDAA709" wp14:editId="772B0A79">
            <wp:simplePos x="0" y="0"/>
            <wp:positionH relativeFrom="column">
              <wp:posOffset>7506032</wp:posOffset>
            </wp:positionH>
            <wp:positionV relativeFrom="paragraph">
              <wp:posOffset>-667137</wp:posOffset>
            </wp:positionV>
            <wp:extent cx="1059180" cy="925195"/>
            <wp:effectExtent l="0" t="0" r="7620" b="825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697" w:rsidSect="00C64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72FC" w14:textId="77777777" w:rsidR="008A5392" w:rsidRDefault="008A5392" w:rsidP="000A68AB">
      <w:r>
        <w:separator/>
      </w:r>
    </w:p>
  </w:endnote>
  <w:endnote w:type="continuationSeparator" w:id="0">
    <w:p w14:paraId="5AB3072F" w14:textId="77777777" w:rsidR="008A5392" w:rsidRDefault="008A5392" w:rsidP="000A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25DA1" w14:textId="77777777" w:rsidR="008A5392" w:rsidRDefault="008A5392" w:rsidP="000A68AB">
      <w:r>
        <w:separator/>
      </w:r>
    </w:p>
  </w:footnote>
  <w:footnote w:type="continuationSeparator" w:id="0">
    <w:p w14:paraId="4FB6E502" w14:textId="77777777" w:rsidR="008A5392" w:rsidRDefault="008A5392" w:rsidP="000A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73E0" w14:textId="2EDFB382" w:rsidR="000A68AB" w:rsidRDefault="00ED6367">
    <w:pPr>
      <w:pStyle w:val="Header"/>
    </w:pPr>
    <w:r>
      <w:t>LARC 3 Year Strategic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AB"/>
    <w:rsid w:val="000A68AB"/>
    <w:rsid w:val="00125BFB"/>
    <w:rsid w:val="00151800"/>
    <w:rsid w:val="001D439F"/>
    <w:rsid w:val="003C5AB6"/>
    <w:rsid w:val="00401E52"/>
    <w:rsid w:val="004A1BB6"/>
    <w:rsid w:val="00515153"/>
    <w:rsid w:val="00555565"/>
    <w:rsid w:val="005E4641"/>
    <w:rsid w:val="006C6C06"/>
    <w:rsid w:val="006D75A6"/>
    <w:rsid w:val="008A5392"/>
    <w:rsid w:val="00C64697"/>
    <w:rsid w:val="00EC73CE"/>
    <w:rsid w:val="00E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13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AB"/>
  </w:style>
  <w:style w:type="paragraph" w:styleId="Footer">
    <w:name w:val="footer"/>
    <w:basedOn w:val="Normal"/>
    <w:link w:val="FooterChar"/>
    <w:uiPriority w:val="99"/>
    <w:unhideWhenUsed/>
    <w:rsid w:val="000A6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AB"/>
  </w:style>
  <w:style w:type="paragraph" w:styleId="ListParagraph">
    <w:name w:val="List Paragraph"/>
    <w:basedOn w:val="Normal"/>
    <w:uiPriority w:val="34"/>
    <w:qFormat/>
    <w:rsid w:val="005E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45A17B-B171-4218-913F-2D57C8E4CF88}" type="doc">
      <dgm:prSet loTypeId="urn:microsoft.com/office/officeart/2011/layout/HexagonRadial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1C17D9F-9BF5-4E30-9B8A-2F368B35CD1F}">
      <dgm:prSet phldrT="[Text]" custT="1"/>
      <dgm:spPr>
        <a:solidFill>
          <a:srgbClr val="FFFF00"/>
        </a:solidFill>
      </dgm:spPr>
      <dgm:t>
        <a:bodyPr/>
        <a:lstStyle/>
        <a:p>
          <a:r>
            <a:rPr lang="en-US" sz="1800" b="1">
              <a:solidFill>
                <a:sysClr val="windowText" lastClr="000000"/>
              </a:solidFill>
            </a:rPr>
            <a:t>LARC</a:t>
          </a:r>
        </a:p>
        <a:p>
          <a:r>
            <a:rPr lang="en-US" sz="1800" b="1">
              <a:solidFill>
                <a:sysClr val="windowText" lastClr="000000"/>
              </a:solidFill>
            </a:rPr>
            <a:t>3 Year Strategic Plan</a:t>
          </a:r>
        </a:p>
      </dgm:t>
    </dgm:pt>
    <dgm:pt modelId="{29DF9500-59BE-460F-ACAD-1F8C303BDB6D}" type="parTrans" cxnId="{A63E8DEB-F25A-4DD8-AE1E-7E58EDFD1825}">
      <dgm:prSet/>
      <dgm:spPr/>
      <dgm:t>
        <a:bodyPr/>
        <a:lstStyle/>
        <a:p>
          <a:endParaRPr lang="en-US"/>
        </a:p>
      </dgm:t>
    </dgm:pt>
    <dgm:pt modelId="{0707138B-473D-44B1-99D0-AC192DC04AE5}" type="sibTrans" cxnId="{A63E8DEB-F25A-4DD8-AE1E-7E58EDFD1825}">
      <dgm:prSet/>
      <dgm:spPr/>
      <dgm:t>
        <a:bodyPr/>
        <a:lstStyle/>
        <a:p>
          <a:endParaRPr lang="en-US"/>
        </a:p>
      </dgm:t>
    </dgm:pt>
    <dgm:pt modelId="{4FD4889A-7E9F-4F27-904D-AA16EB124ADC}">
      <dgm:prSet phldrT="[Text]" custT="1"/>
      <dgm:spPr/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Fall 2017</a:t>
          </a:r>
        </a:p>
        <a:p>
          <a:r>
            <a:rPr lang="en-US" sz="1400">
              <a:solidFill>
                <a:sysClr val="windowText" lastClr="000000"/>
              </a:solidFill>
            </a:rPr>
            <a:t>Gather data to inform the creation of core initiatives.</a:t>
          </a:r>
        </a:p>
      </dgm:t>
    </dgm:pt>
    <dgm:pt modelId="{8E4DBD12-5DC4-44E9-A7EF-F18F3CA9F4F3}" type="parTrans" cxnId="{4CDDBDFC-E1E8-44E4-AD09-485199ED3B4E}">
      <dgm:prSet/>
      <dgm:spPr/>
      <dgm:t>
        <a:bodyPr/>
        <a:lstStyle/>
        <a:p>
          <a:endParaRPr lang="en-US"/>
        </a:p>
      </dgm:t>
    </dgm:pt>
    <dgm:pt modelId="{88B4BA15-59C6-48C8-A712-C34675009E5A}" type="sibTrans" cxnId="{4CDDBDFC-E1E8-44E4-AD09-485199ED3B4E}">
      <dgm:prSet/>
      <dgm:spPr/>
      <dgm:t>
        <a:bodyPr/>
        <a:lstStyle/>
        <a:p>
          <a:endParaRPr lang="en-US"/>
        </a:p>
      </dgm:t>
    </dgm:pt>
    <dgm:pt modelId="{E04D037A-28BB-4AE0-BAD2-CE2447B924B6}">
      <dgm:prSet phldrT="[Text]" custT="1"/>
      <dgm:spPr/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Spring 2018</a:t>
          </a:r>
        </a:p>
        <a:p>
          <a:r>
            <a:rPr lang="en-US" sz="1400">
              <a:solidFill>
                <a:sysClr val="windowText" lastClr="000000"/>
              </a:solidFill>
            </a:rPr>
            <a:t>Analyze data and, under the direction of the ad hoc committee, roll out 1-2 core initiatives.</a:t>
          </a:r>
        </a:p>
      </dgm:t>
    </dgm:pt>
    <dgm:pt modelId="{49A3102C-57A3-444E-A838-558928BADAF3}" type="parTrans" cxnId="{9F794FED-4E2E-42AF-9296-BA1DF19DB4D5}">
      <dgm:prSet/>
      <dgm:spPr/>
      <dgm:t>
        <a:bodyPr/>
        <a:lstStyle/>
        <a:p>
          <a:endParaRPr lang="en-US"/>
        </a:p>
      </dgm:t>
    </dgm:pt>
    <dgm:pt modelId="{92343779-D4A0-4F7F-BBD3-A2B015278B59}" type="sibTrans" cxnId="{9F794FED-4E2E-42AF-9296-BA1DF19DB4D5}">
      <dgm:prSet/>
      <dgm:spPr/>
      <dgm:t>
        <a:bodyPr/>
        <a:lstStyle/>
        <a:p>
          <a:endParaRPr lang="en-US"/>
        </a:p>
      </dgm:t>
    </dgm:pt>
    <dgm:pt modelId="{49493E80-4FC9-4F94-BC92-893294C9E4F8}">
      <dgm:prSet phldrT="[Text]" custT="1"/>
      <dgm:spPr/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Fall 2018</a:t>
          </a:r>
        </a:p>
        <a:p>
          <a:r>
            <a:rPr lang="en-US" sz="1400" b="0">
              <a:solidFill>
                <a:sysClr val="windowText" lastClr="000000"/>
              </a:solidFill>
            </a:rPr>
            <a:t>Add 1-2 core initiatives and identify funding streams if necessary. Form advisory committee.</a:t>
          </a:r>
        </a:p>
      </dgm:t>
    </dgm:pt>
    <dgm:pt modelId="{3587B192-AF3B-4C59-802B-647176124798}" type="parTrans" cxnId="{381EAE7B-DACC-44AC-BDEB-411F0CF9F7E7}">
      <dgm:prSet/>
      <dgm:spPr/>
      <dgm:t>
        <a:bodyPr/>
        <a:lstStyle/>
        <a:p>
          <a:endParaRPr lang="en-US"/>
        </a:p>
      </dgm:t>
    </dgm:pt>
    <dgm:pt modelId="{553CB85E-1696-4328-A919-DDDC2498D7C9}" type="sibTrans" cxnId="{381EAE7B-DACC-44AC-BDEB-411F0CF9F7E7}">
      <dgm:prSet/>
      <dgm:spPr/>
      <dgm:t>
        <a:bodyPr/>
        <a:lstStyle/>
        <a:p>
          <a:endParaRPr lang="en-US"/>
        </a:p>
      </dgm:t>
    </dgm:pt>
    <dgm:pt modelId="{258BE936-7A57-40E8-8FD5-3D94813A18B1}">
      <dgm:prSet phldrT="[Text]" custT="1"/>
      <dgm:spPr/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Spring 2019</a:t>
          </a:r>
        </a:p>
        <a:p>
          <a:r>
            <a:rPr lang="en-US" sz="1400">
              <a:solidFill>
                <a:sysClr val="windowText" lastClr="000000"/>
              </a:solidFill>
            </a:rPr>
            <a:t>Core iniatives in full motion. Consider secondary initatives. Apply for funding streams as needed.</a:t>
          </a:r>
        </a:p>
      </dgm:t>
    </dgm:pt>
    <dgm:pt modelId="{0BC71F0A-764E-49B8-8814-C409A46F7736}" type="parTrans" cxnId="{B3C278D4-C41A-44BD-A7E0-A83AD774A5E4}">
      <dgm:prSet/>
      <dgm:spPr/>
      <dgm:t>
        <a:bodyPr/>
        <a:lstStyle/>
        <a:p>
          <a:endParaRPr lang="en-US"/>
        </a:p>
      </dgm:t>
    </dgm:pt>
    <dgm:pt modelId="{1F6A093D-E023-4A0B-8947-86E85E322DC4}" type="sibTrans" cxnId="{B3C278D4-C41A-44BD-A7E0-A83AD774A5E4}">
      <dgm:prSet/>
      <dgm:spPr/>
      <dgm:t>
        <a:bodyPr/>
        <a:lstStyle/>
        <a:p>
          <a:endParaRPr lang="en-US"/>
        </a:p>
      </dgm:t>
    </dgm:pt>
    <dgm:pt modelId="{BB6C5388-39B1-4EE1-B6F5-2953B8F127D2}">
      <dgm:prSet phldrT="[Text]" custT="1"/>
      <dgm:spPr/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Fall 2019</a:t>
          </a:r>
        </a:p>
        <a:p>
          <a:r>
            <a:rPr lang="en-US" sz="1400">
              <a:solidFill>
                <a:sysClr val="windowText" lastClr="000000"/>
              </a:solidFill>
            </a:rPr>
            <a:t>Continue support for primary and secondary initiatives. Consider bringing in external reviewer.</a:t>
          </a:r>
        </a:p>
      </dgm:t>
    </dgm:pt>
    <dgm:pt modelId="{A7F91460-1F37-450E-B2AE-41D6857BB034}" type="parTrans" cxnId="{3F83AD62-A2F6-4F97-8DFC-1FEF045E91F4}">
      <dgm:prSet/>
      <dgm:spPr/>
      <dgm:t>
        <a:bodyPr/>
        <a:lstStyle/>
        <a:p>
          <a:endParaRPr lang="en-US"/>
        </a:p>
      </dgm:t>
    </dgm:pt>
    <dgm:pt modelId="{24CA27D3-342F-4066-B711-DDBF45ACB1F4}" type="sibTrans" cxnId="{3F83AD62-A2F6-4F97-8DFC-1FEF045E91F4}">
      <dgm:prSet/>
      <dgm:spPr/>
      <dgm:t>
        <a:bodyPr/>
        <a:lstStyle/>
        <a:p>
          <a:endParaRPr lang="en-US"/>
        </a:p>
      </dgm:t>
    </dgm:pt>
    <dgm:pt modelId="{B79913F5-C2B8-436F-BAB4-E53D8B50A9EE}">
      <dgm:prSet phldrT="[Text]" custT="1"/>
      <dgm:spPr/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Spring 2020</a:t>
          </a:r>
        </a:p>
        <a:p>
          <a:r>
            <a:rPr lang="en-US" sz="1400">
              <a:solidFill>
                <a:sysClr val="windowText" lastClr="000000"/>
              </a:solidFill>
            </a:rPr>
            <a:t>Gather data again and, together with external reviewer's recommendations, establish strategic plan for the next three years.</a:t>
          </a:r>
        </a:p>
      </dgm:t>
    </dgm:pt>
    <dgm:pt modelId="{FAC6D72F-64A6-4F25-BD95-D1A4DA135B67}" type="parTrans" cxnId="{2765877E-12D7-4CC2-90A3-9D204FB7CA8A}">
      <dgm:prSet/>
      <dgm:spPr/>
      <dgm:t>
        <a:bodyPr/>
        <a:lstStyle/>
        <a:p>
          <a:endParaRPr lang="en-US"/>
        </a:p>
      </dgm:t>
    </dgm:pt>
    <dgm:pt modelId="{E53C0A0C-060C-4D28-9D46-BBA57BE06038}" type="sibTrans" cxnId="{2765877E-12D7-4CC2-90A3-9D204FB7CA8A}">
      <dgm:prSet/>
      <dgm:spPr/>
      <dgm:t>
        <a:bodyPr/>
        <a:lstStyle/>
        <a:p>
          <a:endParaRPr lang="en-US"/>
        </a:p>
      </dgm:t>
    </dgm:pt>
    <dgm:pt modelId="{06BB361E-1A78-4740-BF04-6F7E58B1BF4D}" type="pres">
      <dgm:prSet presAssocID="{8945A17B-B171-4218-913F-2D57C8E4CF8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8E7A3E49-279E-4348-B70E-33AD2B6A0814}" type="pres">
      <dgm:prSet presAssocID="{B1C17D9F-9BF5-4E30-9B8A-2F368B35CD1F}" presName="Parent" presStyleLbl="node0" presStyleIdx="0" presStyleCnt="1">
        <dgm:presLayoutVars>
          <dgm:chMax val="6"/>
          <dgm:chPref val="6"/>
        </dgm:presLayoutVars>
      </dgm:prSet>
      <dgm:spPr/>
    </dgm:pt>
    <dgm:pt modelId="{A7587EE7-F205-453B-9DD5-8E6226748D26}" type="pres">
      <dgm:prSet presAssocID="{4FD4889A-7E9F-4F27-904D-AA16EB124ADC}" presName="Accent1" presStyleCnt="0"/>
      <dgm:spPr/>
    </dgm:pt>
    <dgm:pt modelId="{D3CF70DC-56BE-476C-80AB-CBB323449C04}" type="pres">
      <dgm:prSet presAssocID="{4FD4889A-7E9F-4F27-904D-AA16EB124ADC}" presName="Accent" presStyleLbl="bgShp" presStyleIdx="0" presStyleCnt="6"/>
      <dgm:spPr/>
    </dgm:pt>
    <dgm:pt modelId="{682A9CCA-466A-4001-B91F-D55F8A6A45F9}" type="pres">
      <dgm:prSet presAssocID="{4FD4889A-7E9F-4F27-904D-AA16EB124ADC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8742E166-0ABF-4EA0-BBF8-A051E8202F64}" type="pres">
      <dgm:prSet presAssocID="{E04D037A-28BB-4AE0-BAD2-CE2447B924B6}" presName="Accent2" presStyleCnt="0"/>
      <dgm:spPr/>
    </dgm:pt>
    <dgm:pt modelId="{0CC9837F-FF0D-4123-84EA-037501EFB3B8}" type="pres">
      <dgm:prSet presAssocID="{E04D037A-28BB-4AE0-BAD2-CE2447B924B6}" presName="Accent" presStyleLbl="bgShp" presStyleIdx="1" presStyleCnt="6"/>
      <dgm:spPr>
        <a:solidFill>
          <a:schemeClr val="tx1"/>
        </a:solidFill>
      </dgm:spPr>
    </dgm:pt>
    <dgm:pt modelId="{9A991C47-A2B1-42FA-A3A8-BB1C1459BF86}" type="pres">
      <dgm:prSet presAssocID="{E04D037A-28BB-4AE0-BAD2-CE2447B924B6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FB8AD173-E916-484B-8FB1-5DC92CEB31EB}" type="pres">
      <dgm:prSet presAssocID="{49493E80-4FC9-4F94-BC92-893294C9E4F8}" presName="Accent3" presStyleCnt="0"/>
      <dgm:spPr/>
    </dgm:pt>
    <dgm:pt modelId="{28F30093-3588-46B6-9A9F-6EA966377880}" type="pres">
      <dgm:prSet presAssocID="{49493E80-4FC9-4F94-BC92-893294C9E4F8}" presName="Accent" presStyleLbl="bgShp" presStyleIdx="2" presStyleCnt="6"/>
      <dgm:spPr>
        <a:solidFill>
          <a:schemeClr val="tx1"/>
        </a:solidFill>
      </dgm:spPr>
    </dgm:pt>
    <dgm:pt modelId="{2A650EF1-B290-4D2B-AE14-8F0C7E2A8EE1}" type="pres">
      <dgm:prSet presAssocID="{49493E80-4FC9-4F94-BC92-893294C9E4F8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6A68A3B8-BD72-4E73-9C0E-4C39E3553B55}" type="pres">
      <dgm:prSet presAssocID="{258BE936-7A57-40E8-8FD5-3D94813A18B1}" presName="Accent4" presStyleCnt="0"/>
      <dgm:spPr/>
    </dgm:pt>
    <dgm:pt modelId="{428D70C3-D68A-406A-B951-E87B427E38BE}" type="pres">
      <dgm:prSet presAssocID="{258BE936-7A57-40E8-8FD5-3D94813A18B1}" presName="Accent" presStyleLbl="bgShp" presStyleIdx="3" presStyleCnt="6"/>
      <dgm:spPr>
        <a:solidFill>
          <a:schemeClr val="tx1"/>
        </a:solidFill>
      </dgm:spPr>
    </dgm:pt>
    <dgm:pt modelId="{5EFCD362-901D-4BC4-8180-FF1B104147DF}" type="pres">
      <dgm:prSet presAssocID="{258BE936-7A57-40E8-8FD5-3D94813A18B1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E2B5333A-2FEF-4847-A3CA-677F207B7FA8}" type="pres">
      <dgm:prSet presAssocID="{BB6C5388-39B1-4EE1-B6F5-2953B8F127D2}" presName="Accent5" presStyleCnt="0"/>
      <dgm:spPr/>
    </dgm:pt>
    <dgm:pt modelId="{CCC6C7E1-4D06-47E8-AFC2-624C384C986A}" type="pres">
      <dgm:prSet presAssocID="{BB6C5388-39B1-4EE1-B6F5-2953B8F127D2}" presName="Accent" presStyleLbl="bgShp" presStyleIdx="4" presStyleCnt="6"/>
      <dgm:spPr>
        <a:solidFill>
          <a:schemeClr val="tx1"/>
        </a:solidFill>
      </dgm:spPr>
    </dgm:pt>
    <dgm:pt modelId="{8FEB7673-0281-46B3-89AB-448C8E91F551}" type="pres">
      <dgm:prSet presAssocID="{BB6C5388-39B1-4EE1-B6F5-2953B8F127D2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A2DAD5A3-A5AD-437A-AA68-69D736102851}" type="pres">
      <dgm:prSet presAssocID="{B79913F5-C2B8-436F-BAB4-E53D8B50A9EE}" presName="Accent6" presStyleCnt="0"/>
      <dgm:spPr/>
    </dgm:pt>
    <dgm:pt modelId="{1376AB18-E8ED-43C1-B73F-B09E9FC0FF81}" type="pres">
      <dgm:prSet presAssocID="{B79913F5-C2B8-436F-BAB4-E53D8B50A9EE}" presName="Accent" presStyleLbl="bgShp" presStyleIdx="5" presStyleCnt="6"/>
      <dgm:spPr>
        <a:solidFill>
          <a:schemeClr val="tx1"/>
        </a:solidFill>
      </dgm:spPr>
    </dgm:pt>
    <dgm:pt modelId="{60C70C26-5C3F-4984-8528-78C7D32A5546}" type="pres">
      <dgm:prSet presAssocID="{B79913F5-C2B8-436F-BAB4-E53D8B50A9EE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C3C0C50B-0675-485C-A3F8-433E3AA62B5F}" type="presOf" srcId="{E04D037A-28BB-4AE0-BAD2-CE2447B924B6}" destId="{9A991C47-A2B1-42FA-A3A8-BB1C1459BF86}" srcOrd="0" destOrd="0" presId="urn:microsoft.com/office/officeart/2011/layout/HexagonRadial"/>
    <dgm:cxn modelId="{1AD10015-2AFC-46C6-BA73-DC525F40E994}" type="presOf" srcId="{B1C17D9F-9BF5-4E30-9B8A-2F368B35CD1F}" destId="{8E7A3E49-279E-4348-B70E-33AD2B6A0814}" srcOrd="0" destOrd="0" presId="urn:microsoft.com/office/officeart/2011/layout/HexagonRadial"/>
    <dgm:cxn modelId="{3F83AD62-A2F6-4F97-8DFC-1FEF045E91F4}" srcId="{B1C17D9F-9BF5-4E30-9B8A-2F368B35CD1F}" destId="{BB6C5388-39B1-4EE1-B6F5-2953B8F127D2}" srcOrd="4" destOrd="0" parTransId="{A7F91460-1F37-450E-B2AE-41D6857BB034}" sibTransId="{24CA27D3-342F-4066-B711-DDBF45ACB1F4}"/>
    <dgm:cxn modelId="{6966B165-C920-4066-ACF0-9AC7DF966808}" type="presOf" srcId="{49493E80-4FC9-4F94-BC92-893294C9E4F8}" destId="{2A650EF1-B290-4D2B-AE14-8F0C7E2A8EE1}" srcOrd="0" destOrd="0" presId="urn:microsoft.com/office/officeart/2011/layout/HexagonRadial"/>
    <dgm:cxn modelId="{545EFE4D-14F2-414C-9B68-2BC68B6C4500}" type="presOf" srcId="{258BE936-7A57-40E8-8FD5-3D94813A18B1}" destId="{5EFCD362-901D-4BC4-8180-FF1B104147DF}" srcOrd="0" destOrd="0" presId="urn:microsoft.com/office/officeart/2011/layout/HexagonRadial"/>
    <dgm:cxn modelId="{381EAE7B-DACC-44AC-BDEB-411F0CF9F7E7}" srcId="{B1C17D9F-9BF5-4E30-9B8A-2F368B35CD1F}" destId="{49493E80-4FC9-4F94-BC92-893294C9E4F8}" srcOrd="2" destOrd="0" parTransId="{3587B192-AF3B-4C59-802B-647176124798}" sibTransId="{553CB85E-1696-4328-A919-DDDC2498D7C9}"/>
    <dgm:cxn modelId="{2765877E-12D7-4CC2-90A3-9D204FB7CA8A}" srcId="{B1C17D9F-9BF5-4E30-9B8A-2F368B35CD1F}" destId="{B79913F5-C2B8-436F-BAB4-E53D8B50A9EE}" srcOrd="5" destOrd="0" parTransId="{FAC6D72F-64A6-4F25-BD95-D1A4DA135B67}" sibTransId="{E53C0A0C-060C-4D28-9D46-BBA57BE06038}"/>
    <dgm:cxn modelId="{1BEAB09F-1235-4E4B-8722-3E30988D8236}" type="presOf" srcId="{8945A17B-B171-4218-913F-2D57C8E4CF88}" destId="{06BB361E-1A78-4740-BF04-6F7E58B1BF4D}" srcOrd="0" destOrd="0" presId="urn:microsoft.com/office/officeart/2011/layout/HexagonRadial"/>
    <dgm:cxn modelId="{9788C5B1-2857-4EBD-A3D2-CD6D5AE4EAF0}" type="presOf" srcId="{B79913F5-C2B8-436F-BAB4-E53D8B50A9EE}" destId="{60C70C26-5C3F-4984-8528-78C7D32A5546}" srcOrd="0" destOrd="0" presId="urn:microsoft.com/office/officeart/2011/layout/HexagonRadial"/>
    <dgm:cxn modelId="{3CA93EBA-CDAF-4493-8A4D-2C970C76E5C3}" type="presOf" srcId="{BB6C5388-39B1-4EE1-B6F5-2953B8F127D2}" destId="{8FEB7673-0281-46B3-89AB-448C8E91F551}" srcOrd="0" destOrd="0" presId="urn:microsoft.com/office/officeart/2011/layout/HexagonRadial"/>
    <dgm:cxn modelId="{B3C278D4-C41A-44BD-A7E0-A83AD774A5E4}" srcId="{B1C17D9F-9BF5-4E30-9B8A-2F368B35CD1F}" destId="{258BE936-7A57-40E8-8FD5-3D94813A18B1}" srcOrd="3" destOrd="0" parTransId="{0BC71F0A-764E-49B8-8814-C409A46F7736}" sibTransId="{1F6A093D-E023-4A0B-8947-86E85E322DC4}"/>
    <dgm:cxn modelId="{D0B844E0-2623-4AC5-8344-45B4D78256D6}" type="presOf" srcId="{4FD4889A-7E9F-4F27-904D-AA16EB124ADC}" destId="{682A9CCA-466A-4001-B91F-D55F8A6A45F9}" srcOrd="0" destOrd="0" presId="urn:microsoft.com/office/officeart/2011/layout/HexagonRadial"/>
    <dgm:cxn modelId="{A63E8DEB-F25A-4DD8-AE1E-7E58EDFD1825}" srcId="{8945A17B-B171-4218-913F-2D57C8E4CF88}" destId="{B1C17D9F-9BF5-4E30-9B8A-2F368B35CD1F}" srcOrd="0" destOrd="0" parTransId="{29DF9500-59BE-460F-ACAD-1F8C303BDB6D}" sibTransId="{0707138B-473D-44B1-99D0-AC192DC04AE5}"/>
    <dgm:cxn modelId="{9F794FED-4E2E-42AF-9296-BA1DF19DB4D5}" srcId="{B1C17D9F-9BF5-4E30-9B8A-2F368B35CD1F}" destId="{E04D037A-28BB-4AE0-BAD2-CE2447B924B6}" srcOrd="1" destOrd="0" parTransId="{49A3102C-57A3-444E-A838-558928BADAF3}" sibTransId="{92343779-D4A0-4F7F-BBD3-A2B015278B59}"/>
    <dgm:cxn modelId="{4CDDBDFC-E1E8-44E4-AD09-485199ED3B4E}" srcId="{B1C17D9F-9BF5-4E30-9B8A-2F368B35CD1F}" destId="{4FD4889A-7E9F-4F27-904D-AA16EB124ADC}" srcOrd="0" destOrd="0" parTransId="{8E4DBD12-5DC4-44E9-A7EF-F18F3CA9F4F3}" sibTransId="{88B4BA15-59C6-48C8-A712-C34675009E5A}"/>
    <dgm:cxn modelId="{B7E9B6A3-5230-4D8A-9B1C-0408999ADEA5}" type="presParOf" srcId="{06BB361E-1A78-4740-BF04-6F7E58B1BF4D}" destId="{8E7A3E49-279E-4348-B70E-33AD2B6A0814}" srcOrd="0" destOrd="0" presId="urn:microsoft.com/office/officeart/2011/layout/HexagonRadial"/>
    <dgm:cxn modelId="{667707F5-B9C9-4E41-AED0-A6D746237793}" type="presParOf" srcId="{06BB361E-1A78-4740-BF04-6F7E58B1BF4D}" destId="{A7587EE7-F205-453B-9DD5-8E6226748D26}" srcOrd="1" destOrd="0" presId="urn:microsoft.com/office/officeart/2011/layout/HexagonRadial"/>
    <dgm:cxn modelId="{EE87EAB5-A8C6-4304-A18C-471BDCA3F581}" type="presParOf" srcId="{A7587EE7-F205-453B-9DD5-8E6226748D26}" destId="{D3CF70DC-56BE-476C-80AB-CBB323449C04}" srcOrd="0" destOrd="0" presId="urn:microsoft.com/office/officeart/2011/layout/HexagonRadial"/>
    <dgm:cxn modelId="{303303BB-C4DD-4464-BA96-8E957E225843}" type="presParOf" srcId="{06BB361E-1A78-4740-BF04-6F7E58B1BF4D}" destId="{682A9CCA-466A-4001-B91F-D55F8A6A45F9}" srcOrd="2" destOrd="0" presId="urn:microsoft.com/office/officeart/2011/layout/HexagonRadial"/>
    <dgm:cxn modelId="{676CC5FF-02A4-43F6-AA7B-5C1272B3CB4D}" type="presParOf" srcId="{06BB361E-1A78-4740-BF04-6F7E58B1BF4D}" destId="{8742E166-0ABF-4EA0-BBF8-A051E8202F64}" srcOrd="3" destOrd="0" presId="urn:microsoft.com/office/officeart/2011/layout/HexagonRadial"/>
    <dgm:cxn modelId="{B8B863E0-3D09-412B-B1B6-A1ED1552110C}" type="presParOf" srcId="{8742E166-0ABF-4EA0-BBF8-A051E8202F64}" destId="{0CC9837F-FF0D-4123-84EA-037501EFB3B8}" srcOrd="0" destOrd="0" presId="urn:microsoft.com/office/officeart/2011/layout/HexagonRadial"/>
    <dgm:cxn modelId="{A4C98B32-CDE8-4370-A5D6-182EB7305FA2}" type="presParOf" srcId="{06BB361E-1A78-4740-BF04-6F7E58B1BF4D}" destId="{9A991C47-A2B1-42FA-A3A8-BB1C1459BF86}" srcOrd="4" destOrd="0" presId="urn:microsoft.com/office/officeart/2011/layout/HexagonRadial"/>
    <dgm:cxn modelId="{DD0A08A7-0972-4D54-B039-5E60BAC0593D}" type="presParOf" srcId="{06BB361E-1A78-4740-BF04-6F7E58B1BF4D}" destId="{FB8AD173-E916-484B-8FB1-5DC92CEB31EB}" srcOrd="5" destOrd="0" presId="urn:microsoft.com/office/officeart/2011/layout/HexagonRadial"/>
    <dgm:cxn modelId="{55A864BB-0F8F-4F23-8F6A-10495048B481}" type="presParOf" srcId="{FB8AD173-E916-484B-8FB1-5DC92CEB31EB}" destId="{28F30093-3588-46B6-9A9F-6EA966377880}" srcOrd="0" destOrd="0" presId="urn:microsoft.com/office/officeart/2011/layout/HexagonRadial"/>
    <dgm:cxn modelId="{1FBC3ACD-C844-4356-91E9-5A0818921A1B}" type="presParOf" srcId="{06BB361E-1A78-4740-BF04-6F7E58B1BF4D}" destId="{2A650EF1-B290-4D2B-AE14-8F0C7E2A8EE1}" srcOrd="6" destOrd="0" presId="urn:microsoft.com/office/officeart/2011/layout/HexagonRadial"/>
    <dgm:cxn modelId="{5D5678FF-6503-4817-A71A-987751F19285}" type="presParOf" srcId="{06BB361E-1A78-4740-BF04-6F7E58B1BF4D}" destId="{6A68A3B8-BD72-4E73-9C0E-4C39E3553B55}" srcOrd="7" destOrd="0" presId="urn:microsoft.com/office/officeart/2011/layout/HexagonRadial"/>
    <dgm:cxn modelId="{41C3995E-89FA-4C93-80E8-44D405C9AA06}" type="presParOf" srcId="{6A68A3B8-BD72-4E73-9C0E-4C39E3553B55}" destId="{428D70C3-D68A-406A-B951-E87B427E38BE}" srcOrd="0" destOrd="0" presId="urn:microsoft.com/office/officeart/2011/layout/HexagonRadial"/>
    <dgm:cxn modelId="{2817E3B6-FBEF-419B-A956-4FF51AB5874E}" type="presParOf" srcId="{06BB361E-1A78-4740-BF04-6F7E58B1BF4D}" destId="{5EFCD362-901D-4BC4-8180-FF1B104147DF}" srcOrd="8" destOrd="0" presId="urn:microsoft.com/office/officeart/2011/layout/HexagonRadial"/>
    <dgm:cxn modelId="{429ACFE4-F8CB-4997-B55E-D906EEAB084A}" type="presParOf" srcId="{06BB361E-1A78-4740-BF04-6F7E58B1BF4D}" destId="{E2B5333A-2FEF-4847-A3CA-677F207B7FA8}" srcOrd="9" destOrd="0" presId="urn:microsoft.com/office/officeart/2011/layout/HexagonRadial"/>
    <dgm:cxn modelId="{A6027FDC-A609-4985-B8FF-BD6B825E2811}" type="presParOf" srcId="{E2B5333A-2FEF-4847-A3CA-677F207B7FA8}" destId="{CCC6C7E1-4D06-47E8-AFC2-624C384C986A}" srcOrd="0" destOrd="0" presId="urn:microsoft.com/office/officeart/2011/layout/HexagonRadial"/>
    <dgm:cxn modelId="{83B2EA60-B424-4E8C-8389-00A13A4663EA}" type="presParOf" srcId="{06BB361E-1A78-4740-BF04-6F7E58B1BF4D}" destId="{8FEB7673-0281-46B3-89AB-448C8E91F551}" srcOrd="10" destOrd="0" presId="urn:microsoft.com/office/officeart/2011/layout/HexagonRadial"/>
    <dgm:cxn modelId="{E7BD2CA4-7AF1-4F3D-B152-F97AAC1E7EDD}" type="presParOf" srcId="{06BB361E-1A78-4740-BF04-6F7E58B1BF4D}" destId="{A2DAD5A3-A5AD-437A-AA68-69D736102851}" srcOrd="11" destOrd="0" presId="urn:microsoft.com/office/officeart/2011/layout/HexagonRadial"/>
    <dgm:cxn modelId="{D14B839B-DD01-436A-B2BF-9C8803DCB871}" type="presParOf" srcId="{A2DAD5A3-A5AD-437A-AA68-69D736102851}" destId="{1376AB18-E8ED-43C1-B73F-B09E9FC0FF81}" srcOrd="0" destOrd="0" presId="urn:microsoft.com/office/officeart/2011/layout/HexagonRadial"/>
    <dgm:cxn modelId="{A208D92D-C324-4FD5-B713-7A7302802C2D}" type="presParOf" srcId="{06BB361E-1A78-4740-BF04-6F7E58B1BF4D}" destId="{60C70C26-5C3F-4984-8528-78C7D32A5546}" srcOrd="12" destOrd="0" presId="urn:microsoft.com/office/officeart/2011/layout/HexagonRadial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A3E49-279E-4348-B70E-33AD2B6A0814}">
      <dsp:nvSpPr>
        <dsp:cNvPr id="0" name=""/>
        <dsp:cNvSpPr/>
      </dsp:nvSpPr>
      <dsp:spPr>
        <a:xfrm>
          <a:off x="2949985" y="2133499"/>
          <a:ext cx="2711770" cy="2345791"/>
        </a:xfrm>
        <a:prstGeom prst="hexagon">
          <a:avLst>
            <a:gd name="adj" fmla="val 28570"/>
            <a:gd name="vf" fmla="val 11547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ysClr val="windowText" lastClr="000000"/>
              </a:solidFill>
            </a:rPr>
            <a:t>LARC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ysClr val="windowText" lastClr="000000"/>
              </a:solidFill>
            </a:rPr>
            <a:t>3 Year Strategic Plan</a:t>
          </a:r>
        </a:p>
      </dsp:txBody>
      <dsp:txXfrm>
        <a:off x="3399363" y="2522229"/>
        <a:ext cx="1813014" cy="1568331"/>
      </dsp:txXfrm>
    </dsp:sp>
    <dsp:sp modelId="{0CC9837F-FF0D-4123-84EA-037501EFB3B8}">
      <dsp:nvSpPr>
        <dsp:cNvPr id="0" name=""/>
        <dsp:cNvSpPr/>
      </dsp:nvSpPr>
      <dsp:spPr>
        <a:xfrm>
          <a:off x="4648074" y="1011196"/>
          <a:ext cx="1023142" cy="881573"/>
        </a:xfrm>
        <a:prstGeom prst="hexagon">
          <a:avLst>
            <a:gd name="adj" fmla="val 28900"/>
            <a:gd name="vf" fmla="val 11547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2A9CCA-466A-4001-B91F-D55F8A6A45F9}">
      <dsp:nvSpPr>
        <dsp:cNvPr id="0" name=""/>
        <dsp:cNvSpPr/>
      </dsp:nvSpPr>
      <dsp:spPr>
        <a:xfrm>
          <a:off x="3199778" y="0"/>
          <a:ext cx="2222276" cy="1922530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Fall 2017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Gather data to inform the creation of core initiatives.</a:t>
          </a:r>
        </a:p>
      </dsp:txBody>
      <dsp:txXfrm>
        <a:off x="3568057" y="318604"/>
        <a:ext cx="1485718" cy="1285322"/>
      </dsp:txXfrm>
    </dsp:sp>
    <dsp:sp modelId="{28F30093-3588-46B6-9A9F-6EA966377880}">
      <dsp:nvSpPr>
        <dsp:cNvPr id="0" name=""/>
        <dsp:cNvSpPr/>
      </dsp:nvSpPr>
      <dsp:spPr>
        <a:xfrm>
          <a:off x="5842161" y="2659268"/>
          <a:ext cx="1023142" cy="881573"/>
        </a:xfrm>
        <a:prstGeom prst="hexagon">
          <a:avLst>
            <a:gd name="adj" fmla="val 28900"/>
            <a:gd name="vf" fmla="val 11547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991C47-A2B1-42FA-A3A8-BB1C1459BF86}">
      <dsp:nvSpPr>
        <dsp:cNvPr id="0" name=""/>
        <dsp:cNvSpPr/>
      </dsp:nvSpPr>
      <dsp:spPr>
        <a:xfrm>
          <a:off x="5237864" y="1182485"/>
          <a:ext cx="2222276" cy="1922530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1960178"/>
            <a:satOff val="-8155"/>
            <a:lumOff val="1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Spring 2018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Analyze data and, under the direction of the ad hoc committee, roll out 1-2 core initiatives.</a:t>
          </a:r>
        </a:p>
      </dsp:txBody>
      <dsp:txXfrm>
        <a:off x="5606143" y="1501089"/>
        <a:ext cx="1485718" cy="1285322"/>
      </dsp:txXfrm>
    </dsp:sp>
    <dsp:sp modelId="{428D70C3-D68A-406A-B951-E87B427E38BE}">
      <dsp:nvSpPr>
        <dsp:cNvPr id="0" name=""/>
        <dsp:cNvSpPr/>
      </dsp:nvSpPr>
      <dsp:spPr>
        <a:xfrm>
          <a:off x="5012671" y="4519632"/>
          <a:ext cx="1023142" cy="881573"/>
        </a:xfrm>
        <a:prstGeom prst="hexagon">
          <a:avLst>
            <a:gd name="adj" fmla="val 28900"/>
            <a:gd name="vf" fmla="val 11547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650EF1-B290-4D2B-AE14-8F0C7E2A8EE1}">
      <dsp:nvSpPr>
        <dsp:cNvPr id="0" name=""/>
        <dsp:cNvSpPr/>
      </dsp:nvSpPr>
      <dsp:spPr>
        <a:xfrm>
          <a:off x="5237864" y="3507113"/>
          <a:ext cx="2222276" cy="1922530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3920356"/>
            <a:satOff val="-16311"/>
            <a:lumOff val="3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Fall 2018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>
              <a:solidFill>
                <a:sysClr val="windowText" lastClr="000000"/>
              </a:solidFill>
            </a:rPr>
            <a:t>Add 1-2 core initiatives and identify funding streams if necessary. Form advisory committee.</a:t>
          </a:r>
        </a:p>
      </dsp:txBody>
      <dsp:txXfrm>
        <a:off x="5606143" y="3825717"/>
        <a:ext cx="1485718" cy="1285322"/>
      </dsp:txXfrm>
    </dsp:sp>
    <dsp:sp modelId="{CCC6C7E1-4D06-47E8-AFC2-624C384C986A}">
      <dsp:nvSpPr>
        <dsp:cNvPr id="0" name=""/>
        <dsp:cNvSpPr/>
      </dsp:nvSpPr>
      <dsp:spPr>
        <a:xfrm>
          <a:off x="2955031" y="4712745"/>
          <a:ext cx="1023142" cy="881573"/>
        </a:xfrm>
        <a:prstGeom prst="hexagon">
          <a:avLst>
            <a:gd name="adj" fmla="val 28900"/>
            <a:gd name="vf" fmla="val 11547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FCD362-901D-4BC4-8180-FF1B104147DF}">
      <dsp:nvSpPr>
        <dsp:cNvPr id="0" name=""/>
        <dsp:cNvSpPr/>
      </dsp:nvSpPr>
      <dsp:spPr>
        <a:xfrm>
          <a:off x="3199778" y="4690920"/>
          <a:ext cx="2222276" cy="1922530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5880535"/>
            <a:satOff val="-24466"/>
            <a:lumOff val="5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Spring 2019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Core iniatives in full motion. Consider secondary initatives. Apply for funding streams as needed.</a:t>
          </a:r>
        </a:p>
      </dsp:txBody>
      <dsp:txXfrm>
        <a:off x="3568057" y="5009524"/>
        <a:ext cx="1485718" cy="1285322"/>
      </dsp:txXfrm>
    </dsp:sp>
    <dsp:sp modelId="{1376AB18-E8ED-43C1-B73F-B09E9FC0FF81}">
      <dsp:nvSpPr>
        <dsp:cNvPr id="0" name=""/>
        <dsp:cNvSpPr/>
      </dsp:nvSpPr>
      <dsp:spPr>
        <a:xfrm>
          <a:off x="1741389" y="3065334"/>
          <a:ext cx="1023142" cy="881573"/>
        </a:xfrm>
        <a:prstGeom prst="hexagon">
          <a:avLst>
            <a:gd name="adj" fmla="val 28900"/>
            <a:gd name="vf" fmla="val 11547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EB7673-0281-46B3-89AB-448C8E91F551}">
      <dsp:nvSpPr>
        <dsp:cNvPr id="0" name=""/>
        <dsp:cNvSpPr/>
      </dsp:nvSpPr>
      <dsp:spPr>
        <a:xfrm>
          <a:off x="1152231" y="3508435"/>
          <a:ext cx="2222276" cy="1922530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7840713"/>
            <a:satOff val="-32622"/>
            <a:lumOff val="768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Fall 2019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Continue support for primary and secondary initiatives. Consider bringing in external reviewer.</a:t>
          </a:r>
        </a:p>
      </dsp:txBody>
      <dsp:txXfrm>
        <a:off x="1520510" y="3827039"/>
        <a:ext cx="1485718" cy="1285322"/>
      </dsp:txXfrm>
    </dsp:sp>
    <dsp:sp modelId="{60C70C26-5C3F-4984-8528-78C7D32A5546}">
      <dsp:nvSpPr>
        <dsp:cNvPr id="0" name=""/>
        <dsp:cNvSpPr/>
      </dsp:nvSpPr>
      <dsp:spPr>
        <a:xfrm>
          <a:off x="1152231" y="1179839"/>
          <a:ext cx="2222276" cy="1922530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Spring 2020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Gather data again and, together with external reviewer's recommendations, establish strategic plan for the next three years.</a:t>
          </a:r>
        </a:p>
      </dsp:txBody>
      <dsp:txXfrm>
        <a:off x="1520510" y="1498443"/>
        <a:ext cx="1485718" cy="1285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Theortical Code</dc:creator>
  <cp:keywords/>
  <dc:description/>
  <cp:lastModifiedBy>Descriptive Code</cp:lastModifiedBy>
  <cp:revision>8</cp:revision>
  <dcterms:created xsi:type="dcterms:W3CDTF">2017-08-30T18:51:00Z</dcterms:created>
  <dcterms:modified xsi:type="dcterms:W3CDTF">2017-08-30T21:09:00Z</dcterms:modified>
</cp:coreProperties>
</file>